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EFEF5" w14:textId="77777777" w:rsidR="00B01B65" w:rsidRDefault="00B01B65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2CB7BFD7" w14:textId="77777777" w:rsidR="00B01B65" w:rsidRDefault="00B01B65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665BAD9F" w14:textId="0D9148A6" w:rsidR="00B01B65" w:rsidRPr="002B225D" w:rsidRDefault="00B01B65" w:rsidP="00B01B65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2B225D">
        <w:rPr>
          <w:rFonts w:ascii="Arial" w:hAnsi="Arial" w:cs="Arial"/>
          <w:b/>
          <w:sz w:val="24"/>
          <w:szCs w:val="24"/>
        </w:rPr>
        <w:t>3GPP TSG-RAN WG1 #8</w:t>
      </w:r>
      <w:r w:rsidR="00172F5C" w:rsidRPr="002B225D">
        <w:rPr>
          <w:rFonts w:ascii="Arial" w:hAnsi="Arial" w:cs="Arial"/>
          <w:b/>
          <w:sz w:val="24"/>
          <w:szCs w:val="24"/>
        </w:rPr>
        <w:t>9</w:t>
      </w:r>
      <w:r w:rsidRPr="002B225D">
        <w:rPr>
          <w:rFonts w:ascii="Arial" w:hAnsi="Arial" w:cs="Arial"/>
          <w:b/>
          <w:sz w:val="24"/>
          <w:szCs w:val="24"/>
        </w:rPr>
        <w:tab/>
      </w:r>
      <w:r w:rsidR="0056548E" w:rsidRPr="002B225D">
        <w:rPr>
          <w:rFonts w:ascii="Arial" w:hAnsi="Arial" w:cs="Arial"/>
          <w:b/>
          <w:sz w:val="24"/>
          <w:szCs w:val="24"/>
        </w:rPr>
        <w:t>R1-170</w:t>
      </w:r>
      <w:r w:rsidR="0025653D">
        <w:rPr>
          <w:rFonts w:ascii="Arial" w:hAnsi="Arial" w:cs="Arial"/>
          <w:b/>
          <w:sz w:val="24"/>
          <w:szCs w:val="24"/>
        </w:rPr>
        <w:t>8638</w:t>
      </w:r>
    </w:p>
    <w:p w14:paraId="6620A23F" w14:textId="0512F626" w:rsidR="00B01B65" w:rsidRPr="002B225D" w:rsidRDefault="00172F5C" w:rsidP="00B01B65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B225D">
        <w:rPr>
          <w:rFonts w:ascii="Arial" w:hAnsi="Arial" w:cs="Arial"/>
          <w:b/>
          <w:sz w:val="24"/>
          <w:szCs w:val="24"/>
        </w:rPr>
        <w:t>15</w:t>
      </w:r>
      <w:r w:rsidR="009357C6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B01B65" w:rsidRPr="002B225D">
        <w:rPr>
          <w:rFonts w:ascii="Arial" w:hAnsi="Arial" w:cs="Arial"/>
          <w:b/>
          <w:sz w:val="24"/>
          <w:szCs w:val="24"/>
        </w:rPr>
        <w:t xml:space="preserve"> – </w:t>
      </w:r>
      <w:r w:rsidRPr="002B225D">
        <w:rPr>
          <w:rFonts w:ascii="Arial" w:hAnsi="Arial" w:cs="Arial"/>
          <w:b/>
          <w:sz w:val="24"/>
          <w:szCs w:val="24"/>
        </w:rPr>
        <w:t>19</w:t>
      </w:r>
      <w:r w:rsidR="00B01B65" w:rsidRPr="002B225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B01B65" w:rsidRPr="002B225D">
        <w:rPr>
          <w:rFonts w:ascii="Arial" w:hAnsi="Arial" w:cs="Arial"/>
          <w:b/>
          <w:sz w:val="24"/>
          <w:szCs w:val="24"/>
        </w:rPr>
        <w:t xml:space="preserve"> </w:t>
      </w:r>
      <w:r w:rsidRPr="002B225D">
        <w:rPr>
          <w:rFonts w:ascii="Arial" w:hAnsi="Arial" w:cs="Arial"/>
          <w:b/>
          <w:sz w:val="24"/>
          <w:szCs w:val="24"/>
        </w:rPr>
        <w:t>May</w:t>
      </w:r>
      <w:r w:rsidR="00B01B65" w:rsidRPr="002B225D">
        <w:rPr>
          <w:rFonts w:ascii="Arial" w:hAnsi="Arial" w:cs="Arial"/>
          <w:b/>
          <w:sz w:val="24"/>
          <w:szCs w:val="24"/>
        </w:rPr>
        <w:t xml:space="preserve"> 2017</w:t>
      </w:r>
    </w:p>
    <w:p w14:paraId="43B7F87A" w14:textId="782A842B" w:rsidR="00D1303E" w:rsidRPr="002B225D" w:rsidRDefault="00172F5C" w:rsidP="00B01B6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B225D">
        <w:rPr>
          <w:rFonts w:ascii="Arial" w:hAnsi="Arial" w:cs="Arial"/>
          <w:b/>
          <w:sz w:val="24"/>
          <w:szCs w:val="24"/>
        </w:rPr>
        <w:t>Hangzhou</w:t>
      </w:r>
      <w:r w:rsidR="00B01B65" w:rsidRPr="002B225D">
        <w:rPr>
          <w:rFonts w:ascii="Arial" w:hAnsi="Arial" w:cs="Arial"/>
          <w:b/>
          <w:sz w:val="24"/>
          <w:szCs w:val="24"/>
        </w:rPr>
        <w:t xml:space="preserve">, </w:t>
      </w:r>
      <w:r w:rsidRPr="002B225D">
        <w:rPr>
          <w:rFonts w:ascii="Arial" w:hAnsi="Arial" w:cs="Arial"/>
          <w:b/>
          <w:sz w:val="24"/>
          <w:szCs w:val="24"/>
        </w:rPr>
        <w:t>China</w:t>
      </w:r>
    </w:p>
    <w:p w14:paraId="43B7F87B" w14:textId="77777777" w:rsidR="0068226B" w:rsidRPr="002B225D" w:rsidRDefault="0068226B" w:rsidP="00480B03">
      <w:pPr>
        <w:pStyle w:val="Footer"/>
        <w:jc w:val="both"/>
        <w:rPr>
          <w:noProof w:val="0"/>
        </w:rPr>
      </w:pPr>
    </w:p>
    <w:p w14:paraId="43B7F87C" w14:textId="1D9B4DEA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2B225D">
        <w:rPr>
          <w:rFonts w:ascii="Arial" w:hAnsi="Arial"/>
          <w:b/>
          <w:sz w:val="24"/>
        </w:rPr>
        <w:t>Agenda item:</w:t>
      </w:r>
      <w:r w:rsidRPr="002B225D">
        <w:rPr>
          <w:rFonts w:ascii="Arial" w:hAnsi="Arial"/>
          <w:sz w:val="24"/>
        </w:rPr>
        <w:tab/>
      </w:r>
      <w:bookmarkStart w:id="0" w:name="Source"/>
      <w:bookmarkEnd w:id="0"/>
      <w:r w:rsidR="002B225D" w:rsidRPr="002B225D">
        <w:rPr>
          <w:rFonts w:ascii="Arial" w:hAnsi="Arial"/>
          <w:sz w:val="24"/>
        </w:rPr>
        <w:t>7.1.4.1.1.1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04CD546A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25653D" w:rsidRPr="0025653D">
        <w:rPr>
          <w:rFonts w:ascii="Arial" w:hAnsi="Arial"/>
          <w:sz w:val="22"/>
        </w:rPr>
        <w:t>CRC attachment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  <w:bookmarkStart w:id="2" w:name="_GoBack"/>
      <w:bookmarkEnd w:id="2"/>
    </w:p>
    <w:p w14:paraId="77D8BF80" w14:textId="6C69AD0A" w:rsidR="004359A7" w:rsidRPr="00172F5C" w:rsidRDefault="004503F9" w:rsidP="004359A7">
      <w:pPr>
        <w:pStyle w:val="Heading1"/>
      </w:pPr>
      <w:r w:rsidRPr="00183CB7">
        <w:t>Introduction</w:t>
      </w:r>
    </w:p>
    <w:p w14:paraId="570D28F1" w14:textId="1E1BECB6" w:rsidR="00600654" w:rsidRDefault="00172F5C" w:rsidP="00172F5C">
      <w:r>
        <w:t xml:space="preserve">From RAN1 #88bis, it was </w:t>
      </w:r>
      <w:r w:rsidR="002B225D">
        <w:t>agreed</w:t>
      </w:r>
      <w:r>
        <w:t xml:space="preserve"> that </w:t>
      </w:r>
    </w:p>
    <w:p w14:paraId="1CCF77ED" w14:textId="77777777" w:rsidR="00600654" w:rsidRPr="00C547CC" w:rsidRDefault="00600654" w:rsidP="00600654">
      <w:pPr>
        <w:rPr>
          <w:rFonts w:eastAsia="MS Mincho"/>
          <w:b/>
          <w:highlight w:val="green"/>
          <w:u w:val="single"/>
          <w:lang w:eastAsia="ja-JP"/>
        </w:rPr>
      </w:pPr>
      <w:r w:rsidRPr="00C547CC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5E3875B8" w14:textId="77777777" w:rsidR="00600654" w:rsidRPr="00C547CC" w:rsidRDefault="00600654" w:rsidP="00600654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454E">
        <w:rPr>
          <w:rFonts w:eastAsia="MS Mincho"/>
          <w:lang w:eastAsia="ja-JP"/>
        </w:rPr>
        <w:t>Number of bits for TB-level CRC is: L</w:t>
      </w:r>
      <w:r w:rsidRPr="001C454E">
        <w:rPr>
          <w:rFonts w:eastAsia="MS Mincho"/>
          <w:vertAlign w:val="subscript"/>
          <w:lang w:eastAsia="ja-JP"/>
        </w:rPr>
        <w:t xml:space="preserve">TB,CRC </w:t>
      </w:r>
      <w:r w:rsidRPr="001C454E">
        <w:rPr>
          <w:rFonts w:eastAsia="MS Mincho"/>
          <w:lang w:eastAsia="ja-JP"/>
        </w:rPr>
        <w:t>=24 bits</w:t>
      </w:r>
      <w:r>
        <w:rPr>
          <w:rFonts w:eastAsia="MS Mincho"/>
          <w:lang w:eastAsia="ja-JP"/>
        </w:rPr>
        <w:t>, at least for TBs larger than a threshold (e.g. around 512 bits)</w:t>
      </w:r>
    </w:p>
    <w:p w14:paraId="3708FDA5" w14:textId="77777777" w:rsidR="00600654" w:rsidRPr="00C547CC" w:rsidRDefault="00600654" w:rsidP="00600654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the value of </w:t>
      </w:r>
      <w:r w:rsidRPr="001C454E">
        <w:rPr>
          <w:rFonts w:eastAsia="MS Mincho"/>
          <w:lang w:eastAsia="ja-JP"/>
        </w:rPr>
        <w:t>L</w:t>
      </w:r>
      <w:r w:rsidRPr="001C454E">
        <w:rPr>
          <w:rFonts w:eastAsia="MS Mincho"/>
          <w:vertAlign w:val="subscript"/>
          <w:lang w:eastAsia="ja-JP"/>
        </w:rPr>
        <w:t xml:space="preserve">TB,CRC </w:t>
      </w:r>
      <w:r>
        <w:rPr>
          <w:rFonts w:eastAsia="MS Mincho"/>
          <w:lang w:eastAsia="ja-JP"/>
        </w:rPr>
        <w:t>for TBs smaller than the threshold, and the value of the threshold (0 is not precluded)</w:t>
      </w:r>
    </w:p>
    <w:p w14:paraId="6EF768B2" w14:textId="77777777" w:rsidR="00600654" w:rsidRPr="001C454E" w:rsidRDefault="00600654" w:rsidP="00600654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454E">
        <w:rPr>
          <w:rFonts w:eastAsia="MS Mincho"/>
          <w:lang w:eastAsia="ja-JP"/>
        </w:rPr>
        <w:t xml:space="preserve">If a TB is segmented into 2 or more CBs after </w:t>
      </w:r>
      <w:r>
        <w:rPr>
          <w:rFonts w:eastAsia="MS Mincho"/>
          <w:lang w:eastAsia="ja-JP"/>
        </w:rPr>
        <w:t>code block (CB) segmentation,</w:t>
      </w:r>
    </w:p>
    <w:p w14:paraId="247878FD" w14:textId="77777777" w:rsidR="00600654" w:rsidRPr="001C454E" w:rsidRDefault="00600654" w:rsidP="00600654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454E">
        <w:rPr>
          <w:rFonts w:eastAsia="MS Mincho"/>
          <w:lang w:eastAsia="ja-JP"/>
        </w:rPr>
        <w:t>CB-level CRC is applied, i.e., CRC bits are attached to each code block individually (as in LTE)</w:t>
      </w:r>
    </w:p>
    <w:p w14:paraId="3CC6535C" w14:textId="77777777" w:rsidR="00600654" w:rsidRPr="004A1EE1" w:rsidRDefault="00600654" w:rsidP="00600654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Number bits</w:t>
      </w:r>
      <w:r w:rsidRPr="001C454E">
        <w:rPr>
          <w:rFonts w:eastAsia="MS Mincho"/>
          <w:lang w:eastAsia="ja-JP"/>
        </w:rPr>
        <w:t xml:space="preserve"> for CB-level CRC is: </w:t>
      </w:r>
      <w:r>
        <w:rPr>
          <w:rFonts w:eastAsia="MS Mincho"/>
          <w:lang w:eastAsia="ja-JP"/>
        </w:rPr>
        <w:t xml:space="preserve">0 &lt; </w:t>
      </w:r>
      <w:r w:rsidRPr="001C454E">
        <w:rPr>
          <w:rFonts w:eastAsia="MS Mincho"/>
          <w:lang w:eastAsia="ja-JP"/>
        </w:rPr>
        <w:t>L</w:t>
      </w:r>
      <w:r w:rsidRPr="001C454E">
        <w:rPr>
          <w:rFonts w:eastAsia="MS Mincho"/>
          <w:vertAlign w:val="subscript"/>
          <w:lang w:eastAsia="ja-JP"/>
        </w:rPr>
        <w:t>CB,CRC</w:t>
      </w:r>
      <w:r w:rsidRPr="001C454E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&lt;</w:t>
      </w:r>
      <w:r w:rsidRPr="001C454E">
        <w:rPr>
          <w:rFonts w:eastAsia="MS Mincho"/>
          <w:lang w:eastAsia="ja-JP"/>
        </w:rPr>
        <w:t>= 24 bits</w:t>
      </w:r>
    </w:p>
    <w:p w14:paraId="1F78B4E9" w14:textId="77777777" w:rsidR="00600654" w:rsidRPr="001C454E" w:rsidRDefault="00600654" w:rsidP="00600654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Exact value(s) </w:t>
      </w:r>
      <w:r w:rsidRPr="001C454E">
        <w:rPr>
          <w:rFonts w:eastAsia="MS Mincho"/>
          <w:lang w:eastAsia="ja-JP"/>
        </w:rPr>
        <w:t>L</w:t>
      </w:r>
      <w:r w:rsidRPr="001C454E">
        <w:rPr>
          <w:rFonts w:eastAsia="MS Mincho"/>
          <w:vertAlign w:val="subscript"/>
          <w:lang w:eastAsia="ja-JP"/>
        </w:rPr>
        <w:t>CB,CRC</w:t>
      </w:r>
      <w:r w:rsidRPr="001C454E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are to be agreed after base graph(s) are agreed, taking into account inherent LDPC PC capability</w:t>
      </w:r>
    </w:p>
    <w:p w14:paraId="74C102DE" w14:textId="77777777" w:rsidR="00600654" w:rsidRPr="004A1EE1" w:rsidRDefault="00600654" w:rsidP="00600654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f</w:t>
      </w:r>
      <w:r w:rsidRPr="001C454E">
        <w:rPr>
          <w:rFonts w:eastAsia="MS Mincho"/>
          <w:lang w:eastAsia="ja-JP"/>
        </w:rPr>
        <w:t xml:space="preserve">or a code block group (CBG) containing 2 or more CBs but not all CBs of the TB, </w:t>
      </w:r>
      <w:r>
        <w:rPr>
          <w:rFonts w:eastAsia="MS Mincho"/>
          <w:lang w:eastAsia="ja-JP"/>
        </w:rPr>
        <w:t>any</w:t>
      </w:r>
      <w:r w:rsidRPr="001C454E">
        <w:rPr>
          <w:rFonts w:eastAsia="MS Mincho"/>
          <w:lang w:eastAsia="ja-JP"/>
        </w:rPr>
        <w:t xml:space="preserve"> additional CRC bits are attached to the CBG</w:t>
      </w:r>
    </w:p>
    <w:p w14:paraId="2B97EFA4" w14:textId="77777777" w:rsidR="00600654" w:rsidRPr="001C454E" w:rsidRDefault="00600654" w:rsidP="00600654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be decide after decision on the value(s) of </w:t>
      </w:r>
      <w:r w:rsidRPr="001C454E">
        <w:rPr>
          <w:rFonts w:eastAsia="MS Mincho"/>
          <w:lang w:eastAsia="ja-JP"/>
        </w:rPr>
        <w:t>L</w:t>
      </w:r>
      <w:r w:rsidRPr="001C454E">
        <w:rPr>
          <w:rFonts w:eastAsia="MS Mincho"/>
          <w:vertAlign w:val="subscript"/>
          <w:lang w:eastAsia="ja-JP"/>
        </w:rPr>
        <w:t>CB,CRC</w:t>
      </w:r>
      <w:r w:rsidRPr="001C454E">
        <w:rPr>
          <w:rFonts w:eastAsia="MS Mincho"/>
          <w:lang w:eastAsia="ja-JP"/>
        </w:rPr>
        <w:t xml:space="preserve"> </w:t>
      </w:r>
    </w:p>
    <w:p w14:paraId="292EF7CC" w14:textId="77777777" w:rsidR="00600654" w:rsidRDefault="00600654" w:rsidP="00172F5C"/>
    <w:p w14:paraId="4E2823CD" w14:textId="77777777" w:rsidR="002B225D" w:rsidRPr="004A6E6B" w:rsidRDefault="002B225D" w:rsidP="002B225D">
      <w:pPr>
        <w:rPr>
          <w:rFonts w:eastAsia="MS Mincho"/>
          <w:b/>
          <w:highlight w:val="green"/>
          <w:u w:val="single"/>
          <w:lang w:eastAsia="ja-JP"/>
        </w:rPr>
      </w:pPr>
      <w:r w:rsidRPr="004A6E6B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74F25D3D" w14:textId="77777777" w:rsidR="002B225D" w:rsidRPr="00CC190B" w:rsidRDefault="002B225D" w:rsidP="002B225D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C190B">
        <w:rPr>
          <w:rFonts w:eastAsia="MS Mincho"/>
          <w:lang w:eastAsia="ja-JP"/>
        </w:rPr>
        <w:t>For TB of size TBS &gt; K</w:t>
      </w:r>
      <w:r w:rsidRPr="00CC190B">
        <w:rPr>
          <w:rFonts w:eastAsia="MS Mincho"/>
          <w:vertAlign w:val="subscript"/>
          <w:lang w:eastAsia="ja-JP"/>
        </w:rPr>
        <w:t>CB,max</w:t>
      </w:r>
      <w:r w:rsidRPr="00CC190B">
        <w:rPr>
          <w:rFonts w:eastAsia="MS Mincho"/>
          <w:lang w:eastAsia="ja-JP"/>
        </w:rPr>
        <w:t xml:space="preserve"> – L</w:t>
      </w:r>
      <w:r w:rsidRPr="00CC190B">
        <w:rPr>
          <w:rFonts w:eastAsia="MS Mincho"/>
          <w:vertAlign w:val="subscript"/>
          <w:lang w:eastAsia="ja-JP"/>
        </w:rPr>
        <w:t>TB,CRC</w:t>
      </w:r>
      <w:r w:rsidRPr="00CC190B">
        <w:rPr>
          <w:rFonts w:eastAsia="MS Mincho"/>
          <w:lang w:eastAsia="ja-JP"/>
        </w:rPr>
        <w:t>, the TB is segmented into multiple CBs</w:t>
      </w:r>
    </w:p>
    <w:p w14:paraId="10EFF156" w14:textId="77777777" w:rsidR="002B225D" w:rsidRPr="00CC190B" w:rsidRDefault="002B225D" w:rsidP="002B225D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C190B">
        <w:rPr>
          <w:rFonts w:eastAsia="MS Mincho"/>
          <w:lang w:eastAsia="ja-JP"/>
        </w:rPr>
        <w:t>The CBs may be further grouped into code block groups (CBGs)</w:t>
      </w:r>
    </w:p>
    <w:p w14:paraId="600A339A" w14:textId="59836088" w:rsidR="002B225D" w:rsidRDefault="002B225D" w:rsidP="002B225D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is not precluded that CBGs</w:t>
      </w:r>
      <w:r w:rsidRPr="00F914D9">
        <w:rPr>
          <w:rFonts w:eastAsia="MS Mincho"/>
          <w:lang w:eastAsia="ja-JP"/>
        </w:rPr>
        <w:t xml:space="preserve"> in a </w:t>
      </w:r>
      <w:r>
        <w:rPr>
          <w:rFonts w:eastAsia="MS Mincho"/>
          <w:lang w:eastAsia="ja-JP"/>
        </w:rPr>
        <w:t xml:space="preserve">given </w:t>
      </w:r>
      <w:r w:rsidRPr="00F914D9">
        <w:rPr>
          <w:rFonts w:eastAsia="MS Mincho"/>
          <w:lang w:eastAsia="ja-JP"/>
        </w:rPr>
        <w:t xml:space="preserve">TB </w:t>
      </w:r>
      <w:r>
        <w:rPr>
          <w:rFonts w:eastAsia="MS Mincho"/>
          <w:lang w:eastAsia="ja-JP"/>
        </w:rPr>
        <w:t>may contain</w:t>
      </w:r>
      <w:r w:rsidRPr="00F914D9">
        <w:rPr>
          <w:rFonts w:eastAsia="MS Mincho"/>
          <w:lang w:eastAsia="ja-JP"/>
        </w:rPr>
        <w:t xml:space="preserve"> different numbers of CBs</w:t>
      </w:r>
    </w:p>
    <w:p w14:paraId="201B3865" w14:textId="025DB912" w:rsidR="00635325" w:rsidRDefault="00635325" w:rsidP="00635325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6091916C" w14:textId="77777777" w:rsidR="0056706A" w:rsidRDefault="0056706A" w:rsidP="00635325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0A0C8412" w14:textId="77A47701" w:rsidR="00635325" w:rsidRDefault="00635325" w:rsidP="00635325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this contribution, we consider some des</w:t>
      </w:r>
      <w:r w:rsidR="009357C6">
        <w:rPr>
          <w:rFonts w:eastAsia="MS Mincho"/>
          <w:lang w:eastAsia="ja-JP"/>
        </w:rPr>
        <w:t>ign aspects of</w:t>
      </w:r>
      <w:r w:rsidR="00E02A90">
        <w:rPr>
          <w:rFonts w:eastAsia="MS Mincho"/>
          <w:lang w:eastAsia="ja-JP"/>
        </w:rPr>
        <w:t xml:space="preserve"> CRC</w:t>
      </w:r>
      <w:r>
        <w:rPr>
          <w:rFonts w:eastAsia="MS Mincho"/>
          <w:lang w:eastAsia="ja-JP"/>
        </w:rPr>
        <w:t xml:space="preserve"> </w:t>
      </w:r>
      <w:r w:rsidR="00C46B08">
        <w:rPr>
          <w:rFonts w:eastAsia="MS Mincho"/>
          <w:lang w:eastAsia="ja-JP"/>
        </w:rPr>
        <w:t>attachment</w:t>
      </w:r>
      <w:r w:rsidR="00E02A90">
        <w:rPr>
          <w:rFonts w:eastAsia="MS Mincho"/>
          <w:lang w:eastAsia="ja-JP"/>
        </w:rPr>
        <w:t xml:space="preserve"> </w:t>
      </w:r>
      <w:r w:rsidR="00717EC8">
        <w:rPr>
          <w:rFonts w:eastAsia="MS Mincho"/>
          <w:lang w:eastAsia="ja-JP"/>
        </w:rPr>
        <w:t xml:space="preserve">across different block levels </w:t>
      </w:r>
      <w:r w:rsidR="00C46B08">
        <w:rPr>
          <w:rFonts w:eastAsia="MS Mincho"/>
          <w:lang w:eastAsia="ja-JP"/>
        </w:rPr>
        <w:t>when supporting</w:t>
      </w:r>
      <w:r>
        <w:rPr>
          <w:rFonts w:eastAsia="MS Mincho"/>
          <w:lang w:eastAsia="ja-JP"/>
        </w:rPr>
        <w:t xml:space="preserve"> CBG construction.</w:t>
      </w:r>
    </w:p>
    <w:p w14:paraId="73A84569" w14:textId="1586FEFE" w:rsidR="001B67ED" w:rsidRDefault="001B67ED" w:rsidP="001B67ED">
      <w:pPr>
        <w:pStyle w:val="Heading1"/>
        <w:jc w:val="both"/>
      </w:pPr>
      <w:r>
        <w:t>Discussion</w:t>
      </w:r>
    </w:p>
    <w:p w14:paraId="1BA31207" w14:textId="6010C79E" w:rsidR="00635325" w:rsidRDefault="00635325" w:rsidP="00635325">
      <w:pPr>
        <w:pStyle w:val="Heading2"/>
      </w:pPr>
      <w:r>
        <w:t>CRC considerations</w:t>
      </w:r>
    </w:p>
    <w:p w14:paraId="7FACEB1E" w14:textId="4F5A2BF6" w:rsidR="00635325" w:rsidRPr="00725DCF" w:rsidRDefault="00DC7C82" w:rsidP="00635325">
      <w:r>
        <w:rPr>
          <w:lang w:val="en-GB"/>
        </w:rPr>
        <w:t>As mentioned earlier, a</w:t>
      </w:r>
      <w:r w:rsidR="00635325">
        <w:rPr>
          <w:lang w:val="en-GB"/>
        </w:rPr>
        <w:t xml:space="preserve">greement </w:t>
      </w:r>
      <w:r>
        <w:rPr>
          <w:lang w:val="en-GB"/>
        </w:rPr>
        <w:t xml:space="preserve">has been </w:t>
      </w:r>
      <w:r w:rsidR="00635325">
        <w:rPr>
          <w:lang w:val="en-GB"/>
        </w:rPr>
        <w:t xml:space="preserve">reached </w:t>
      </w:r>
      <w:r>
        <w:rPr>
          <w:lang w:val="en-GB"/>
        </w:rPr>
        <w:t xml:space="preserve">that each CB in a TB is going to </w:t>
      </w:r>
      <w:r w:rsidR="00635325">
        <w:rPr>
          <w:lang w:val="en-GB"/>
        </w:rPr>
        <w:t>have at least 1</w:t>
      </w:r>
      <w:r>
        <w:rPr>
          <w:lang w:val="en-GB"/>
        </w:rPr>
        <w:t xml:space="preserve"> CRC bit</w:t>
      </w:r>
      <w:r w:rsidR="00635325">
        <w:rPr>
          <w:lang w:val="en-GB"/>
        </w:rPr>
        <w:t xml:space="preserve">. This also is applicable to when there is CBG-based transmission. One natural question arises whether there is further need for CBG-level CRC (in addition to TB-level CRC). Although having CBG-level CRC can be advantageous in further insuring integrity of the whole CBG, it is not clear how it can be meaningfully treated. If CBG-level CRC is considered part of the CBG payload, issues can arise during CBG re-transmission, where changes in resource allocation may require redefining CBGs for that transmission, which would rule out soft-combining with previous transmission; on the other hand, considering CBG-level CRC as a separate CB can be inefficient for larger CB sizes.  </w:t>
      </w:r>
    </w:p>
    <w:p w14:paraId="27C4CD8B" w14:textId="6F1D2CD0" w:rsidR="00635325" w:rsidRDefault="00635325" w:rsidP="00635325">
      <w:pPr>
        <w:rPr>
          <w:b/>
          <w:lang w:val="en-GB"/>
        </w:rPr>
      </w:pPr>
      <w:bookmarkStart w:id="3" w:name="o1"/>
      <w:r>
        <w:rPr>
          <w:b/>
          <w:lang w:val="en-GB"/>
        </w:rPr>
        <w:lastRenderedPageBreak/>
        <w:t xml:space="preserve">Proposal 1: CB-level CRC should only be provided in addition to TB-level CRC, in both cases where CBG or no CBG is configured.  </w:t>
      </w:r>
    </w:p>
    <w:p w14:paraId="440E19D9" w14:textId="6C0EC647" w:rsidR="00635325" w:rsidRPr="0047704A" w:rsidRDefault="00635325" w:rsidP="00635325">
      <w:pPr>
        <w:rPr>
          <w:lang w:val="en-GB"/>
        </w:rPr>
      </w:pPr>
      <w:r>
        <w:rPr>
          <w:lang w:val="en-GB"/>
        </w:rPr>
        <w:t>The original motivation of having CBG-based transmission is to reduce the chances of the need for whole TB re-transmission. To maintain that objective, it then becomes imperative that the CB-level CRC is strong enough to have high error-detection capabilities (for instance, like with 24-bit CB-level CRC in LTE).</w:t>
      </w:r>
      <w:r w:rsidR="0056706A">
        <w:rPr>
          <w:lang w:val="en-GB"/>
        </w:rPr>
        <w:t xml:space="preserve"> Furthermore, to meet a certain error-detection requirement at the CBG level would require more stringent requirement at the CB level, e.g., 1% </w:t>
      </w:r>
      <w:r w:rsidR="00DB19EC">
        <w:rPr>
          <w:lang w:val="en-GB"/>
        </w:rPr>
        <w:t>m</w:t>
      </w:r>
      <w:r w:rsidR="006719F5">
        <w:rPr>
          <w:lang w:val="en-GB"/>
        </w:rPr>
        <w:t>issed-</w:t>
      </w:r>
      <w:r w:rsidR="0056706A">
        <w:rPr>
          <w:lang w:val="en-GB"/>
        </w:rPr>
        <w:t xml:space="preserve">detection requirement at the CBG level, with each CBG having 10 CBs, would require ~0.1% </w:t>
      </w:r>
      <w:r w:rsidR="006719F5">
        <w:rPr>
          <w:lang w:val="en-GB"/>
        </w:rPr>
        <w:t>missed-</w:t>
      </w:r>
      <w:r w:rsidR="0056706A">
        <w:rPr>
          <w:lang w:val="en-GB"/>
        </w:rPr>
        <w:t xml:space="preserve">detection requirement at the CB level (under independent CB </w:t>
      </w:r>
      <w:r w:rsidR="00D529AF">
        <w:rPr>
          <w:lang w:val="en-GB"/>
        </w:rPr>
        <w:t>miss</w:t>
      </w:r>
      <w:r w:rsidR="00B458FD">
        <w:rPr>
          <w:lang w:val="en-GB"/>
        </w:rPr>
        <w:t>ed-detection</w:t>
      </w:r>
      <w:r w:rsidR="0056706A">
        <w:rPr>
          <w:lang w:val="en-GB"/>
        </w:rPr>
        <w:t xml:space="preserve"> assumption).</w:t>
      </w:r>
    </w:p>
    <w:p w14:paraId="6C027731" w14:textId="20DDF755" w:rsidR="00635325" w:rsidRDefault="00635325" w:rsidP="00635325">
      <w:pPr>
        <w:rPr>
          <w:b/>
          <w:lang w:val="en-GB"/>
        </w:rPr>
      </w:pPr>
      <w:bookmarkStart w:id="4" w:name="p4"/>
      <w:bookmarkEnd w:id="3"/>
      <w:r>
        <w:rPr>
          <w:b/>
          <w:lang w:val="en-GB"/>
        </w:rPr>
        <w:t xml:space="preserve">Observation 2: </w:t>
      </w:r>
      <w:r w:rsidRPr="00C346A2">
        <w:rPr>
          <w:b/>
          <w:lang w:val="en-GB"/>
        </w:rPr>
        <w:t>CB</w:t>
      </w:r>
      <w:r>
        <w:rPr>
          <w:b/>
          <w:lang w:val="en-GB"/>
        </w:rPr>
        <w:t>-level CRC should have enough bits</w:t>
      </w:r>
      <w:r w:rsidR="002F268A">
        <w:rPr>
          <w:b/>
          <w:lang w:val="en-GB"/>
        </w:rPr>
        <w:t xml:space="preserve"> to keep the missed error-detection</w:t>
      </w:r>
      <w:r w:rsidRPr="00C346A2">
        <w:rPr>
          <w:b/>
          <w:lang w:val="en-GB"/>
        </w:rPr>
        <w:t xml:space="preserve"> probability</w:t>
      </w:r>
      <w:r w:rsidR="000E0068">
        <w:rPr>
          <w:b/>
          <w:lang w:val="en-GB"/>
        </w:rPr>
        <w:t xml:space="preserve"> at the CBG level</w:t>
      </w:r>
      <w:r w:rsidR="002F268A">
        <w:rPr>
          <w:b/>
          <w:lang w:val="en-GB"/>
        </w:rPr>
        <w:t xml:space="preserve"> low</w:t>
      </w:r>
      <w:r>
        <w:rPr>
          <w:b/>
          <w:lang w:val="en-GB"/>
        </w:rPr>
        <w:t xml:space="preserve">. </w:t>
      </w:r>
    </w:p>
    <w:p w14:paraId="41FFAE68" w14:textId="77777777" w:rsidR="00635325" w:rsidRDefault="00635325" w:rsidP="00635325">
      <w:pPr>
        <w:rPr>
          <w:b/>
          <w:lang w:val="en-GB"/>
        </w:rPr>
      </w:pPr>
    </w:p>
    <w:bookmarkEnd w:id="4"/>
    <w:p w14:paraId="3F94A5FE" w14:textId="6C173881" w:rsidR="00635325" w:rsidRDefault="00635325" w:rsidP="00635325">
      <w:pPr>
        <w:pStyle w:val="Heading2"/>
      </w:pPr>
      <w:r>
        <w:t>CBG construction considerations</w:t>
      </w:r>
    </w:p>
    <w:p w14:paraId="51CBEC62" w14:textId="41675267" w:rsidR="00635325" w:rsidRPr="00F01C74" w:rsidRDefault="00635325" w:rsidP="00635325">
      <w:pPr>
        <w:spacing w:before="240"/>
        <w:rPr>
          <w:lang w:val="en-GB"/>
        </w:rPr>
      </w:pPr>
      <w:r>
        <w:rPr>
          <w:lang w:val="en-GB"/>
        </w:rPr>
        <w:t>There is no RAN1 requirement on aligning CBs with symbol boundaries</w:t>
      </w:r>
      <w:r w:rsidR="00D16291">
        <w:rPr>
          <w:lang w:val="en-GB"/>
        </w:rPr>
        <w:t xml:space="preserve"> (see also [2])</w:t>
      </w:r>
      <w:r>
        <w:rPr>
          <w:lang w:val="en-GB"/>
        </w:rPr>
        <w:t>.  Then, in general, it is likely that some CBs span symbol boundaries, which also would make the corresponding CBGs (containing the aforementioned CBs) also span symbol boundaries. Furthermore, time/frequency resources available can vary from symbol to symbol (for instance, due to reference signals), so to maintain the DCI/UCI overhead low, it may often be the case that CBGs span multiple symbols.</w:t>
      </w:r>
    </w:p>
    <w:p w14:paraId="6365BCA3" w14:textId="7EBB85C6" w:rsidR="00635325" w:rsidRDefault="00635325" w:rsidP="00635325">
      <w:pPr>
        <w:rPr>
          <w:lang w:val="en-GB"/>
        </w:rPr>
      </w:pPr>
      <w:r>
        <w:rPr>
          <w:lang w:val="en-GB"/>
        </w:rPr>
        <w:t xml:space="preserve">However, if each CB is forced to belong to a single CBG, there can be a substantial increase in the number of CBs that need to be re-transmitted in case of </w:t>
      </w:r>
      <w:r w:rsidR="00F41931">
        <w:rPr>
          <w:lang w:val="en-GB"/>
        </w:rPr>
        <w:t xml:space="preserve">interference or </w:t>
      </w:r>
      <w:r>
        <w:rPr>
          <w:lang w:val="en-GB"/>
        </w:rPr>
        <w:t>URLLC</w:t>
      </w:r>
      <w:r w:rsidR="00F41931">
        <w:rPr>
          <w:lang w:val="en-GB"/>
        </w:rPr>
        <w:t xml:space="preserve"> pre-emption</w:t>
      </w:r>
      <w:r>
        <w:rPr>
          <w:lang w:val="en-GB"/>
        </w:rPr>
        <w:t xml:space="preserve">, as illustrated in an example in Figure 1.     </w:t>
      </w:r>
    </w:p>
    <w:p w14:paraId="5102A63C" w14:textId="05F8BCED" w:rsidR="00635325" w:rsidRDefault="0056706A" w:rsidP="00635325">
      <w:pPr>
        <w:jc w:val="center"/>
        <w:rPr>
          <w:lang w:val="en-GB"/>
        </w:rPr>
      </w:pPr>
      <w:r w:rsidRPr="00162C54">
        <w:object w:dxaOrig="5850" w:dyaOrig="8445" w14:anchorId="799204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5pt;height:373.5pt" o:ole="">
            <v:imagedata r:id="rId12" o:title=""/>
          </v:shape>
          <o:OLEObject Type="Embed" ProgID="Visio.Drawing.11" ShapeID="_x0000_i1025" DrawAspect="Content" ObjectID="_1555565153" r:id="rId13"/>
        </w:object>
      </w:r>
    </w:p>
    <w:p w14:paraId="6DB030A6" w14:textId="4FA918EA" w:rsidR="00635325" w:rsidRDefault="00635325" w:rsidP="00635325">
      <w:pPr>
        <w:jc w:val="center"/>
        <w:rPr>
          <w:b/>
          <w:sz w:val="22"/>
        </w:rPr>
      </w:pPr>
      <w:r w:rsidRPr="001734AF">
        <w:rPr>
          <w:b/>
          <w:sz w:val="22"/>
        </w:rPr>
        <w:lastRenderedPageBreak/>
        <w:t>Figure</w:t>
      </w:r>
      <w:r>
        <w:rPr>
          <w:b/>
          <w:sz w:val="22"/>
        </w:rPr>
        <w:t xml:space="preserve"> 1.</w:t>
      </w:r>
      <w:r w:rsidRPr="001734AF">
        <w:rPr>
          <w:b/>
          <w:sz w:val="22"/>
        </w:rPr>
        <w:t xml:space="preserve"> </w:t>
      </w:r>
      <w:r>
        <w:rPr>
          <w:b/>
          <w:sz w:val="22"/>
        </w:rPr>
        <w:t>Example of CBs spanning symbol boundaries. CBGs are defined as CB0-5, CB6-10, … Interference in symbols 5 and 6 requires re-tx of CBGs 4,5,6, i.e., 15 CBs</w:t>
      </w:r>
      <w:r w:rsidR="0056706A">
        <w:rPr>
          <w:b/>
          <w:sz w:val="22"/>
        </w:rPr>
        <w:t xml:space="preserve"> in total</w:t>
      </w:r>
      <w:r>
        <w:rPr>
          <w:b/>
          <w:sz w:val="22"/>
        </w:rPr>
        <w:t>.</w:t>
      </w:r>
    </w:p>
    <w:p w14:paraId="1B473CE1" w14:textId="48DCADCA" w:rsidR="00635325" w:rsidRDefault="00635325" w:rsidP="00635325">
      <w:pPr>
        <w:rPr>
          <w:lang w:val="en-GB"/>
        </w:rPr>
      </w:pPr>
      <w:r>
        <w:rPr>
          <w:lang w:val="en-GB"/>
        </w:rPr>
        <w:t xml:space="preserve">If some CBs can be part of multiple CBGs, such significant re-transmission overhead can be reduced, by allowing the CBs spanning the symbol boundaries to be part of the corresponding adjoining CBGs. </w:t>
      </w:r>
      <w:r w:rsidR="00D16291">
        <w:rPr>
          <w:lang w:val="en-GB"/>
        </w:rPr>
        <w:t xml:space="preserve">This can entail a little increase in the UE’s Ack/Nack feedback, but can provide significant improvement in re-transmission. </w:t>
      </w:r>
      <w:r>
        <w:rPr>
          <w:lang w:val="en-GB"/>
        </w:rPr>
        <w:t xml:space="preserve">The gains corresponding to the example in Figure 1 are illustrated in Figure 2. </w:t>
      </w:r>
    </w:p>
    <w:p w14:paraId="16F73EDC" w14:textId="4C8133A1" w:rsidR="00635325" w:rsidRDefault="0056706A" w:rsidP="00635325">
      <w:pPr>
        <w:jc w:val="center"/>
        <w:rPr>
          <w:lang w:val="en-GB"/>
        </w:rPr>
      </w:pPr>
      <w:r w:rsidRPr="00162C54">
        <w:object w:dxaOrig="5850" w:dyaOrig="8445" w14:anchorId="71C9BD07">
          <v:shape id="_x0000_i1026" type="#_x0000_t75" style="width:292.5pt;height:376.5pt" o:ole="">
            <v:imagedata r:id="rId14" o:title=""/>
          </v:shape>
          <o:OLEObject Type="Embed" ProgID="Visio.Drawing.11" ShapeID="_x0000_i1026" DrawAspect="Content" ObjectID="_1555565154" r:id="rId15"/>
        </w:object>
      </w:r>
    </w:p>
    <w:p w14:paraId="26333D77" w14:textId="77777777" w:rsidR="00635325" w:rsidRPr="00D85341" w:rsidRDefault="00635325" w:rsidP="00635325">
      <w:pPr>
        <w:jc w:val="center"/>
        <w:rPr>
          <w:b/>
          <w:lang w:eastAsia="ko-KR"/>
        </w:rPr>
      </w:pPr>
      <w:r w:rsidRPr="001734AF">
        <w:rPr>
          <w:b/>
          <w:sz w:val="22"/>
        </w:rPr>
        <w:t>Figure</w:t>
      </w:r>
      <w:r>
        <w:rPr>
          <w:b/>
          <w:sz w:val="22"/>
        </w:rPr>
        <w:t xml:space="preserve"> 2.</w:t>
      </w:r>
      <w:r w:rsidRPr="001734AF">
        <w:rPr>
          <w:b/>
          <w:sz w:val="22"/>
        </w:rPr>
        <w:t xml:space="preserve"> </w:t>
      </w:r>
      <w:r>
        <w:rPr>
          <w:b/>
          <w:sz w:val="22"/>
        </w:rPr>
        <w:t>Allowing boundary CBs to belong to multiple CBGs, e.g., with CBGs defined as CB0-5, CB5-10,…, reduces re-tx to CBGs 5,6 i.e, 11 CBs in total.</w:t>
      </w:r>
    </w:p>
    <w:p w14:paraId="16C9B2E8" w14:textId="77777777" w:rsidR="00635325" w:rsidRDefault="00635325" w:rsidP="00635325">
      <w:pPr>
        <w:rPr>
          <w:lang w:val="en-GB"/>
        </w:rPr>
      </w:pPr>
    </w:p>
    <w:p w14:paraId="52E13C5B" w14:textId="6F182D29" w:rsidR="00635325" w:rsidRDefault="00635325" w:rsidP="00635325">
      <w:pPr>
        <w:rPr>
          <w:b/>
          <w:lang w:val="en-GB"/>
        </w:rPr>
      </w:pPr>
      <w:bookmarkStart w:id="5" w:name="p3"/>
      <w:r>
        <w:rPr>
          <w:b/>
          <w:lang w:val="en-GB"/>
        </w:rPr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>
        <w:rPr>
          <w:b/>
          <w:noProof/>
          <w:lang w:val="en-GB"/>
        </w:rPr>
        <w:t>3</w:t>
      </w:r>
      <w:r>
        <w:rPr>
          <w:b/>
          <w:lang w:val="en-GB"/>
        </w:rPr>
        <w:fldChar w:fldCharType="end"/>
      </w:r>
      <w:r>
        <w:rPr>
          <w:b/>
          <w:lang w:val="en-GB"/>
        </w:rPr>
        <w:t xml:space="preserve">: CBG construction should </w:t>
      </w:r>
      <w:r w:rsidR="0025653D">
        <w:rPr>
          <w:b/>
          <w:lang w:val="en-GB"/>
        </w:rPr>
        <w:t>further consider</w:t>
      </w:r>
      <w:r w:rsidRPr="00471B22">
        <w:rPr>
          <w:b/>
          <w:lang w:val="en-GB"/>
        </w:rPr>
        <w:t xml:space="preserve"> </w:t>
      </w:r>
      <w:r>
        <w:rPr>
          <w:b/>
          <w:lang w:val="en-GB"/>
        </w:rPr>
        <w:t xml:space="preserve">some </w:t>
      </w:r>
      <w:r w:rsidRPr="00471B22">
        <w:rPr>
          <w:b/>
          <w:lang w:val="en-GB"/>
        </w:rPr>
        <w:t>CB</w:t>
      </w:r>
      <w:r>
        <w:rPr>
          <w:b/>
          <w:lang w:val="en-GB"/>
        </w:rPr>
        <w:t>s belonging to multiple</w:t>
      </w:r>
      <w:r w:rsidRPr="00471B22">
        <w:rPr>
          <w:b/>
          <w:lang w:val="en-GB"/>
        </w:rPr>
        <w:t xml:space="preserve"> CBGs</w:t>
      </w:r>
      <w:r>
        <w:rPr>
          <w:b/>
          <w:lang w:val="en-GB"/>
        </w:rPr>
        <w:t>.</w:t>
      </w:r>
    </w:p>
    <w:bookmarkEnd w:id="5"/>
    <w:p w14:paraId="082F8D7B" w14:textId="27E5E877" w:rsidR="00172F5C" w:rsidRDefault="00172F5C" w:rsidP="001B67ED"/>
    <w:p w14:paraId="43B7F891" w14:textId="2CD3605A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2CF73288" w14:textId="03BA89AB" w:rsidR="00635325" w:rsidRDefault="00DC7C82" w:rsidP="00635325">
      <w:pPr>
        <w:rPr>
          <w:lang w:val="en-GB"/>
        </w:rPr>
      </w:pPr>
      <w:r>
        <w:rPr>
          <w:lang w:val="en-GB"/>
        </w:rPr>
        <w:t>In this contribution</w:t>
      </w:r>
      <w:r w:rsidR="00635325">
        <w:rPr>
          <w:lang w:val="en-GB"/>
        </w:rPr>
        <w:t>, we considered some design aspects for CRC segmentation and CBG construction, and have the following proposals</w:t>
      </w:r>
      <w:r w:rsidR="00684E83">
        <w:rPr>
          <w:lang w:val="en-GB"/>
        </w:rPr>
        <w:t>/observations</w:t>
      </w:r>
      <w:r w:rsidR="00635325">
        <w:rPr>
          <w:lang w:val="en-GB"/>
        </w:rPr>
        <w:t>:</w:t>
      </w:r>
    </w:p>
    <w:p w14:paraId="466D6845" w14:textId="77777777" w:rsidR="004A6642" w:rsidRDefault="004A6642" w:rsidP="004A6642">
      <w:pPr>
        <w:rPr>
          <w:b/>
          <w:lang w:val="en-GB"/>
        </w:rPr>
      </w:pPr>
      <w:r>
        <w:rPr>
          <w:b/>
          <w:lang w:val="en-GB"/>
        </w:rPr>
        <w:t xml:space="preserve">Proposal 1: CB-level CRC should only be provided in addition to TB-level CRC, in both cases where CBG or no CBG is configured.  </w:t>
      </w:r>
    </w:p>
    <w:p w14:paraId="0B2BC7D2" w14:textId="1B26CDB2" w:rsidR="004A6642" w:rsidRDefault="002F268A" w:rsidP="002F268A">
      <w:pPr>
        <w:rPr>
          <w:b/>
          <w:lang w:val="en-GB"/>
        </w:rPr>
      </w:pPr>
      <w:r>
        <w:rPr>
          <w:b/>
          <w:lang w:val="en-GB"/>
        </w:rPr>
        <w:lastRenderedPageBreak/>
        <w:t xml:space="preserve">Observation 2: </w:t>
      </w:r>
      <w:r w:rsidRPr="00C346A2">
        <w:rPr>
          <w:b/>
          <w:lang w:val="en-GB"/>
        </w:rPr>
        <w:t>CB</w:t>
      </w:r>
      <w:r>
        <w:rPr>
          <w:b/>
          <w:lang w:val="en-GB"/>
        </w:rPr>
        <w:t>-level CRC should have enough bits to keep the missed error-detection</w:t>
      </w:r>
      <w:r w:rsidRPr="00C346A2">
        <w:rPr>
          <w:b/>
          <w:lang w:val="en-GB"/>
        </w:rPr>
        <w:t xml:space="preserve"> probability</w:t>
      </w:r>
      <w:r>
        <w:rPr>
          <w:b/>
          <w:lang w:val="en-GB"/>
        </w:rPr>
        <w:t xml:space="preserve"> at the CBG level low. </w:t>
      </w:r>
    </w:p>
    <w:p w14:paraId="4424180A" w14:textId="500A7233" w:rsidR="00635325" w:rsidRPr="004A6642" w:rsidRDefault="004A6642" w:rsidP="00635325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>
        <w:rPr>
          <w:b/>
          <w:noProof/>
          <w:lang w:val="en-GB"/>
        </w:rPr>
        <w:t>3</w:t>
      </w:r>
      <w:r>
        <w:rPr>
          <w:b/>
          <w:lang w:val="en-GB"/>
        </w:rPr>
        <w:fldChar w:fldCharType="end"/>
      </w:r>
      <w:r w:rsidR="00A70AE8">
        <w:rPr>
          <w:b/>
          <w:lang w:val="en-GB"/>
        </w:rPr>
        <w:t xml:space="preserve">: CBG construction should further consider </w:t>
      </w:r>
      <w:r>
        <w:rPr>
          <w:b/>
          <w:lang w:val="en-GB"/>
        </w:rPr>
        <w:t xml:space="preserve">some </w:t>
      </w:r>
      <w:r w:rsidRPr="00471B22">
        <w:rPr>
          <w:b/>
          <w:lang w:val="en-GB"/>
        </w:rPr>
        <w:t>CB</w:t>
      </w:r>
      <w:r>
        <w:rPr>
          <w:b/>
          <w:lang w:val="en-GB"/>
        </w:rPr>
        <w:t>s belonging to multiple</w:t>
      </w:r>
      <w:r w:rsidRPr="00471B22">
        <w:rPr>
          <w:b/>
          <w:lang w:val="en-GB"/>
        </w:rPr>
        <w:t xml:space="preserve"> CBGs</w:t>
      </w:r>
      <w:r>
        <w:rPr>
          <w:b/>
          <w:lang w:val="en-GB"/>
        </w:rPr>
        <w:t>.</w:t>
      </w:r>
    </w:p>
    <w:p w14:paraId="77E6D8D6" w14:textId="7C426758" w:rsidR="000D0D99" w:rsidRPr="00CB0C74" w:rsidRDefault="000D0D99" w:rsidP="00D14728">
      <w:pPr>
        <w:rPr>
          <w:lang w:val="en-GB"/>
        </w:rPr>
      </w:pP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4CDB098" w14:textId="38887302" w:rsidR="00C4029D" w:rsidRDefault="00A278A7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6" w:name="_Ref474112695"/>
      <w:r>
        <w:rPr>
          <w:szCs w:val="22"/>
        </w:rPr>
        <w:t xml:space="preserve">Chairman’s Notes, RAN1 </w:t>
      </w:r>
      <w:r w:rsidR="0056548E">
        <w:rPr>
          <w:szCs w:val="22"/>
        </w:rPr>
        <w:t>#88</w:t>
      </w:r>
      <w:r w:rsidR="00172F5C">
        <w:rPr>
          <w:szCs w:val="22"/>
        </w:rPr>
        <w:t>bis</w:t>
      </w:r>
      <w:r>
        <w:rPr>
          <w:szCs w:val="22"/>
        </w:rPr>
        <w:t>,</w:t>
      </w:r>
      <w:r w:rsidR="00172F5C">
        <w:rPr>
          <w:szCs w:val="22"/>
        </w:rPr>
        <w:t xml:space="preserve"> April</w:t>
      </w:r>
      <w:r>
        <w:rPr>
          <w:szCs w:val="22"/>
        </w:rPr>
        <w:t xml:space="preserve"> 2017, </w:t>
      </w:r>
      <w:r w:rsidR="00172F5C">
        <w:rPr>
          <w:szCs w:val="22"/>
        </w:rPr>
        <w:t>Spokane, USA</w:t>
      </w:r>
      <w:r>
        <w:rPr>
          <w:szCs w:val="22"/>
        </w:rPr>
        <w:t>.</w:t>
      </w:r>
      <w:bookmarkEnd w:id="6"/>
    </w:p>
    <w:p w14:paraId="65B0DCDB" w14:textId="40030C75" w:rsidR="00D16291" w:rsidRPr="00172F5C" w:rsidRDefault="00D16291" w:rsidP="00D16291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R1-1708632, “</w:t>
      </w:r>
      <w:r>
        <w:t>CBG Construction Principles for CBG-based Transmission with Multi-Bit HARQ feedback,” Qualcomm, 3GPP TSG-RAN WG1 #89</w:t>
      </w:r>
      <w:r w:rsidRPr="00D16291">
        <w:t>.</w:t>
      </w:r>
    </w:p>
    <w:sectPr w:rsidR="00D16291" w:rsidRPr="00172F5C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567F7" w14:textId="77777777" w:rsidR="00980AF6" w:rsidRDefault="00980AF6">
      <w:r>
        <w:separator/>
      </w:r>
    </w:p>
  </w:endnote>
  <w:endnote w:type="continuationSeparator" w:id="0">
    <w:p w14:paraId="10006D02" w14:textId="77777777" w:rsidR="00980AF6" w:rsidRDefault="00980AF6">
      <w:r>
        <w:continuationSeparator/>
      </w:r>
    </w:p>
  </w:endnote>
  <w:endnote w:type="continuationNotice" w:id="1">
    <w:p w14:paraId="116E0820" w14:textId="77777777" w:rsidR="00980AF6" w:rsidRDefault="00980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2E0706" w:rsidRDefault="002E070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2E0706" w:rsidRDefault="002E070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5AC4E0BE" w:rsidR="002E0706" w:rsidRDefault="002E070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787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787C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55D5A" w14:textId="77777777" w:rsidR="00980AF6" w:rsidRDefault="00980AF6">
      <w:r>
        <w:separator/>
      </w:r>
    </w:p>
  </w:footnote>
  <w:footnote w:type="continuationSeparator" w:id="0">
    <w:p w14:paraId="367157FD" w14:textId="77777777" w:rsidR="00980AF6" w:rsidRDefault="00980AF6">
      <w:r>
        <w:continuationSeparator/>
      </w:r>
    </w:p>
  </w:footnote>
  <w:footnote w:type="continuationNotice" w:id="1">
    <w:p w14:paraId="5A0705F5" w14:textId="77777777" w:rsidR="00980AF6" w:rsidRDefault="00980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2E0706" w:rsidRDefault="002E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E17B2B"/>
    <w:multiLevelType w:val="hybridMultilevel"/>
    <w:tmpl w:val="9364D0FE"/>
    <w:lvl w:ilvl="0" w:tplc="F52674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A417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B0F9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3680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F8D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F22B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E65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89E1F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2E54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DCE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3AF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76C2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E14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3EE19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78FA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4445F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E177C81"/>
    <w:multiLevelType w:val="hybridMultilevel"/>
    <w:tmpl w:val="F620B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E6B6C"/>
    <w:multiLevelType w:val="hybridMultilevel"/>
    <w:tmpl w:val="374A7CF6"/>
    <w:lvl w:ilvl="0" w:tplc="E34EA6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C3671"/>
    <w:multiLevelType w:val="hybridMultilevel"/>
    <w:tmpl w:val="D0E6B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4736075"/>
    <w:multiLevelType w:val="hybridMultilevel"/>
    <w:tmpl w:val="7C50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9"/>
  </w:num>
  <w:num w:numId="5">
    <w:abstractNumId w:val="5"/>
  </w:num>
  <w:num w:numId="6">
    <w:abstractNumId w:val="9"/>
  </w:num>
  <w:num w:numId="7">
    <w:abstractNumId w:val="12"/>
  </w:num>
  <w:num w:numId="8">
    <w:abstractNumId w:val="1"/>
  </w:num>
  <w:num w:numId="9">
    <w:abstractNumId w:val="27"/>
    <w:lvlOverride w:ilvl="0">
      <w:startOverride w:val="1"/>
    </w:lvlOverride>
  </w:num>
  <w:num w:numId="10">
    <w:abstractNumId w:val="23"/>
  </w:num>
  <w:num w:numId="11">
    <w:abstractNumId w:val="25"/>
  </w:num>
  <w:num w:numId="12">
    <w:abstractNumId w:val="24"/>
  </w:num>
  <w:num w:numId="13">
    <w:abstractNumId w:val="3"/>
  </w:num>
  <w:num w:numId="14">
    <w:abstractNumId w:val="14"/>
  </w:num>
  <w:num w:numId="15">
    <w:abstractNumId w:val="16"/>
  </w:num>
  <w:num w:numId="16">
    <w:abstractNumId w:val="11"/>
  </w:num>
  <w:num w:numId="17">
    <w:abstractNumId w:val="7"/>
  </w:num>
  <w:num w:numId="18">
    <w:abstractNumId w:val="6"/>
  </w:num>
  <w:num w:numId="19">
    <w:abstractNumId w:val="17"/>
  </w:num>
  <w:num w:numId="20">
    <w:abstractNumId w:val="22"/>
  </w:num>
  <w:num w:numId="21">
    <w:abstractNumId w:val="26"/>
  </w:num>
  <w:num w:numId="22">
    <w:abstractNumId w:val="28"/>
  </w:num>
  <w:num w:numId="23">
    <w:abstractNumId w:val="10"/>
  </w:num>
  <w:num w:numId="24">
    <w:abstractNumId w:val="8"/>
  </w:num>
  <w:num w:numId="25">
    <w:abstractNumId w:val="18"/>
  </w:num>
  <w:num w:numId="26">
    <w:abstractNumId w:val="13"/>
  </w:num>
  <w:num w:numId="27">
    <w:abstractNumId w:val="2"/>
  </w:num>
  <w:num w:numId="28">
    <w:abstractNumId w:val="21"/>
  </w:num>
  <w:num w:numId="29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EB5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7E0"/>
    <w:rsid w:val="00074A9E"/>
    <w:rsid w:val="00074BF5"/>
    <w:rsid w:val="000752CD"/>
    <w:rsid w:val="000753EC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4F28"/>
    <w:rsid w:val="00085239"/>
    <w:rsid w:val="00085DDD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A15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D99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065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068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72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5E2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1D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2A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F5C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5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7ED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B6F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AE7"/>
    <w:rsid w:val="00211D31"/>
    <w:rsid w:val="00211DD9"/>
    <w:rsid w:val="0021273E"/>
    <w:rsid w:val="00212816"/>
    <w:rsid w:val="00212B03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310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53D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35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25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706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F4F"/>
    <w:rsid w:val="00313765"/>
    <w:rsid w:val="003137A0"/>
    <w:rsid w:val="003139E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0AD"/>
    <w:rsid w:val="0034246D"/>
    <w:rsid w:val="0034305B"/>
    <w:rsid w:val="00343C24"/>
    <w:rsid w:val="00343FA6"/>
    <w:rsid w:val="00344725"/>
    <w:rsid w:val="00344901"/>
    <w:rsid w:val="00344B58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318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C3F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F43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20E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6F5"/>
    <w:rsid w:val="00456971"/>
    <w:rsid w:val="00456AC7"/>
    <w:rsid w:val="0045742D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642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D18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98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58"/>
    <w:rsid w:val="00564EB9"/>
    <w:rsid w:val="0056548E"/>
    <w:rsid w:val="00566C25"/>
    <w:rsid w:val="0056706A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43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B23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654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7D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767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0B3"/>
    <w:rsid w:val="00684258"/>
    <w:rsid w:val="006845C9"/>
    <w:rsid w:val="00684E83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367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D8C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5B9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EC8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2E9"/>
    <w:rsid w:val="00757847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7AA"/>
    <w:rsid w:val="007D4838"/>
    <w:rsid w:val="007D4956"/>
    <w:rsid w:val="007D4FF2"/>
    <w:rsid w:val="007D5033"/>
    <w:rsid w:val="007D512C"/>
    <w:rsid w:val="007D526F"/>
    <w:rsid w:val="007D59BB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4BFE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654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F5D"/>
    <w:rsid w:val="0083070C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A9E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F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2C8D"/>
    <w:rsid w:val="008C4B47"/>
    <w:rsid w:val="008C570A"/>
    <w:rsid w:val="008C59D5"/>
    <w:rsid w:val="008C5B10"/>
    <w:rsid w:val="008C6970"/>
    <w:rsid w:val="008C69DC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A60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6A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2D"/>
    <w:rsid w:val="00974FB0"/>
    <w:rsid w:val="009751BA"/>
    <w:rsid w:val="0097539E"/>
    <w:rsid w:val="0097577E"/>
    <w:rsid w:val="0097584E"/>
    <w:rsid w:val="00975DFF"/>
    <w:rsid w:val="009765CF"/>
    <w:rsid w:val="00976989"/>
    <w:rsid w:val="009769F7"/>
    <w:rsid w:val="00976D1B"/>
    <w:rsid w:val="00976FFB"/>
    <w:rsid w:val="00977852"/>
    <w:rsid w:val="009778AB"/>
    <w:rsid w:val="00980403"/>
    <w:rsid w:val="009804CB"/>
    <w:rsid w:val="009809DD"/>
    <w:rsid w:val="00980ACA"/>
    <w:rsid w:val="00980AF6"/>
    <w:rsid w:val="00980F14"/>
    <w:rsid w:val="0098135E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3E4"/>
    <w:rsid w:val="009A3576"/>
    <w:rsid w:val="009A3A6D"/>
    <w:rsid w:val="009A3AB5"/>
    <w:rsid w:val="009A3BA5"/>
    <w:rsid w:val="009A4990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98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C20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5DB"/>
    <w:rsid w:val="00A106FE"/>
    <w:rsid w:val="00A1078D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8A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AE8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87C"/>
    <w:rsid w:val="00AD7927"/>
    <w:rsid w:val="00AD7E17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B65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DB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8F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614"/>
    <w:rsid w:val="00B517F1"/>
    <w:rsid w:val="00B51A40"/>
    <w:rsid w:val="00B51DA5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426"/>
    <w:rsid w:val="00B566E0"/>
    <w:rsid w:val="00B5685D"/>
    <w:rsid w:val="00B56E91"/>
    <w:rsid w:val="00B56F22"/>
    <w:rsid w:val="00B574BA"/>
    <w:rsid w:val="00B57861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CC9"/>
    <w:rsid w:val="00B820AE"/>
    <w:rsid w:val="00B821AB"/>
    <w:rsid w:val="00B82A8C"/>
    <w:rsid w:val="00B830F7"/>
    <w:rsid w:val="00B8321E"/>
    <w:rsid w:val="00B837F5"/>
    <w:rsid w:val="00B83AC3"/>
    <w:rsid w:val="00B83C5F"/>
    <w:rsid w:val="00B83DAC"/>
    <w:rsid w:val="00B83DF6"/>
    <w:rsid w:val="00B84BE8"/>
    <w:rsid w:val="00B855A8"/>
    <w:rsid w:val="00B85837"/>
    <w:rsid w:val="00B858AF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73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427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C74"/>
    <w:rsid w:val="00C44F96"/>
    <w:rsid w:val="00C44FF2"/>
    <w:rsid w:val="00C4587D"/>
    <w:rsid w:val="00C45C66"/>
    <w:rsid w:val="00C46B08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903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0C74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394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6291"/>
    <w:rsid w:val="00D16776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3E20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370"/>
    <w:rsid w:val="00D5438E"/>
    <w:rsid w:val="00D544F9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E7E"/>
    <w:rsid w:val="00D62243"/>
    <w:rsid w:val="00D6278F"/>
    <w:rsid w:val="00D62949"/>
    <w:rsid w:val="00D629D3"/>
    <w:rsid w:val="00D62DEC"/>
    <w:rsid w:val="00D62E00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9EC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C82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A90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612"/>
    <w:rsid w:val="00E62AF2"/>
    <w:rsid w:val="00E62C6B"/>
    <w:rsid w:val="00E62DDA"/>
    <w:rsid w:val="00E630F7"/>
    <w:rsid w:val="00E63A8C"/>
    <w:rsid w:val="00E63EF8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122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1BF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178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0727D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5C79"/>
    <w:rsid w:val="00F165FF"/>
    <w:rsid w:val="00F16BB1"/>
    <w:rsid w:val="00F173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9E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BC"/>
    <w:rsid w:val="00F37DC6"/>
    <w:rsid w:val="00F41931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HR33RHYHUWRF-4-2594</_dlc_DocId>
    <_dlc_DocIdUrl xmlns="c06861ca-3f08-4d07-bff7-bb15bac121f4">
      <Url>https://projects.qualcomm.com/sites/pentari/_layouts/15/DocIdRedir.aspx?ID=HR33RHYHUWRF-4-2594</Url>
      <Description>HR33RHYHUWRF-4-2594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3A1D0D16-E761-4E70-BB14-588AFDAC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4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Joseph Soriaga</cp:lastModifiedBy>
  <cp:revision>26</cp:revision>
  <cp:lastPrinted>2014-11-07T05:38:00Z</cp:lastPrinted>
  <dcterms:created xsi:type="dcterms:W3CDTF">2017-05-04T20:31:00Z</dcterms:created>
  <dcterms:modified xsi:type="dcterms:W3CDTF">2017-05-06T15:37:00Z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72ac996a-bb3c-47ca-acb6-bf96746f922f</vt:lpwstr>
  </property>
</Properties>
</file>